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drawing>
          <wp:inline xmlns:a="http://schemas.openxmlformats.org/drawingml/2006/main" xmlns:pic="http://schemas.openxmlformats.org/drawingml/2006/picture">
            <wp:extent cx="2331720" cy="1554480"/>
            <wp:docPr id="1" name="Picture 1"/>
            <wp:cNvGraphicFramePr>
              <a:graphicFrameLocks noChangeAspect="1"/>
            </wp:cNvGraphicFramePr>
            <a:graphic>
              <a:graphicData uri="http://schemas.openxmlformats.org/drawingml/2006/picture">
                <pic:pic>
                  <pic:nvPicPr>
                    <pic:cNvPr id="0" name="nwf_logo_internal.jpg"/>
                    <pic:cNvPicPr/>
                  </pic:nvPicPr>
                  <pic:blipFill>
                    <a:blip r:embed="rId9"/>
                    <a:stretch>
                      <a:fillRect/>
                    </a:stretch>
                  </pic:blipFill>
                  <pic:spPr>
                    <a:xfrm>
                      <a:off x="0" y="0"/>
                      <a:ext cx="2331720" cy="1554480"/>
                    </a:xfrm>
                    <a:prstGeom prst="rect"/>
                  </pic:spPr>
                </pic:pic>
              </a:graphicData>
            </a:graphic>
          </wp:inline>
        </w:drawing>
      </w:r>
    </w:p>
    <w:p>
      <w:pPr>
        <w:spacing w:after="20"/>
        <w:jc w:val="center"/>
      </w:pPr>
      <w:r>
        <w:rPr>
          <w:b/>
          <w:color w:val="102B58"/>
          <w:sz w:val="30"/>
        </w:rPr>
        <w:t>DIRECTOR OF INTERNATIONAL YOUTH &amp; FAMILY ENGAGEMENT</w:t>
      </w:r>
    </w:p>
    <w:p>
      <w:pPr>
        <w:spacing w:after="140"/>
        <w:jc w:val="center"/>
      </w:pPr>
      <w:r>
        <w:rPr>
          <w:b/>
          <w:color w:val="7F2B97"/>
          <w:sz w:val="20"/>
        </w:rPr>
        <w:t>Independent Contractor | Remote</w:t>
      </w:r>
    </w:p>
    <w:tbl>
      <w:tblPr>
        <w:tblW w:type="auto" w:w="0"/>
        <w:tblLayout w:type="fixed"/>
        <w:tblLook w:firstColumn="1" w:firstRow="1" w:lastColumn="0" w:lastRow="0" w:noHBand="0" w:noVBand="1" w:val="04A0"/>
      </w:tblPr>
      <w:tblGrid>
        <w:gridCol w:w="5112"/>
        <w:gridCol w:w="5112"/>
      </w:tblGrid>
      <w:tr>
        <w:tc>
          <w:tcPr>
            <w:tcW w:type="dxa" w:w="5112"/>
          </w:tcPr>
          <w:p>
            <w:pPr>
              <w:spacing w:after="0"/>
            </w:pPr>
            <w:r>
              <w:rPr>
                <w:color w:val="555555"/>
                <w:sz w:val="15"/>
              </w:rPr>
              <w:t>Website: www.niculiawilliams.org</w:t>
            </w:r>
          </w:p>
        </w:tc>
        <w:tc>
          <w:tcPr>
            <w:tcW w:type="dxa" w:w="5112"/>
          </w:tcPr>
          <w:p>
            <w:pPr>
              <w:spacing w:after="0"/>
            </w:pPr>
            <w:r>
              <w:rPr>
                <w:color w:val="555555"/>
                <w:sz w:val="15"/>
              </w:rPr>
              <w:t>Email: info@niculiawilliams.org</w:t>
            </w:r>
          </w:p>
        </w:tc>
      </w:tr>
      <w:tr>
        <w:tc>
          <w:tcPr>
            <w:tcW w:type="dxa" w:w="5112"/>
          </w:tcPr>
          <w:p>
            <w:pPr>
              <w:spacing w:after="0"/>
            </w:pPr>
            <w:r>
              <w:rPr>
                <w:color w:val="555555"/>
                <w:sz w:val="15"/>
              </w:rPr>
              <w:t>Office: 2143 Springs Road, Suite 55, #233</w:t>
            </w:r>
          </w:p>
        </w:tc>
        <w:tc>
          <w:tcPr>
            <w:tcW w:type="dxa" w:w="5112"/>
          </w:tcPr>
          <w:p>
            <w:pPr>
              <w:spacing w:after="0"/>
            </w:pPr>
            <w:r>
              <w:rPr>
                <w:color w:val="555555"/>
                <w:sz w:val="15"/>
              </w:rPr>
              <w:t>Phone: 707-654-4523</w:t>
            </w:r>
          </w:p>
        </w:tc>
      </w:tr>
      <w:tr>
        <w:tc>
          <w:tcPr>
            <w:tcW w:type="dxa" w:w="5112"/>
          </w:tcPr>
          <w:p>
            <w:pPr>
              <w:spacing w:after="0"/>
            </w:pPr>
            <w:r>
              <w:rPr>
                <w:color w:val="555555"/>
                <w:sz w:val="15"/>
              </w:rPr>
              <w:t>Vallejo, CA 94591</w:t>
            </w:r>
          </w:p>
        </w:tc>
        <w:tc>
          <w:tcPr>
            <w:tcW w:type="dxa" w:w="5112"/>
          </w:tcPr>
          <w:p>
            <w:pPr>
              <w:spacing w:after="0"/>
            </w:pPr>
            <w:r>
              <w:rPr>
                <w:color w:val="555555"/>
                <w:sz w:val="15"/>
              </w:rPr>
              <w:t>Position Type: Independent Contractor (1099)</w:t>
            </w:r>
          </w:p>
        </w:tc>
      </w:tr>
      <w:tr>
        <w:tc>
          <w:tcPr>
            <w:tcW w:type="dxa" w:w="5112"/>
          </w:tcPr>
          <w:p>
            <w:pPr>
              <w:spacing w:after="0"/>
            </w:pPr>
            <w:r>
              <w:rPr>
                <w:color w:val="555555"/>
                <w:sz w:val="15"/>
              </w:rPr>
              <w:t>Work Location: Remote, with periodic in-person activities and international travel</w:t>
            </w:r>
          </w:p>
        </w:tc>
        <w:tc>
          <w:tcPr>
            <w:tcW w:type="dxa" w:w="5112"/>
          </w:tcPr>
          <w:p>
            <w:pPr>
              <w:spacing w:after="0"/>
            </w:pPr>
            <w:r>
              <w:rPr>
                <w:color w:val="555555"/>
                <w:sz w:val="15"/>
              </w:rPr>
              <w:t>Reports To: Founder &amp; Chief Executive Officer</w:t>
            </w:r>
          </w:p>
        </w:tc>
      </w:tr>
    </w:tbl>
    <w:p>
      <w:pPr>
        <w:spacing w:after="180"/>
        <w:jc w:val="left"/>
      </w:pPr>
      <w:r>
        <w:rPr>
          <w:b w:val="0"/>
          <w:color w:val="555555"/>
          <w:sz w:val="15"/>
        </w:rPr>
        <w:t>Version: 1.0 | 2026</w:t>
      </w:r>
    </w:p>
    <w:p>
      <w:pPr>
        <w:spacing w:after="80"/>
        <w:jc w:val="left"/>
      </w:pPr>
      <w:r>
        <w:rPr>
          <w:b/>
          <w:color w:val="102B58"/>
          <w:sz w:val="22"/>
        </w:rPr>
        <w:t>About the Foundation</w:t>
      </w:r>
    </w:p>
    <w:p>
      <w:pPr>
        <w:spacing w:after="100"/>
        <w:jc w:val="left"/>
      </w:pPr>
      <w:r>
        <w:rPr>
          <w:b w:val="0"/>
        </w:rPr>
        <w:t>The Niculia “Nikki” Williams Education &amp; Equity Foundation was established to honor and continue the life, service, values, and community legacy of Niculia “Nikki” Williams.</w:t>
      </w:r>
    </w:p>
    <w:p>
      <w:pPr>
        <w:spacing w:after="100"/>
        <w:jc w:val="left"/>
      </w:pPr>
      <w:r>
        <w:rPr>
          <w:b w:val="0"/>
        </w:rPr>
        <w:t>Mrs. Williams believed deeply in the potential of children, the importance of education, the strength of families, and the responsibility to create opportunities for others. Throughout her life, she demonstrated those values through her service to young people, families, faith communities, and community-based organizations.</w:t>
      </w:r>
    </w:p>
    <w:p>
      <w:pPr>
        <w:spacing w:after="100"/>
        <w:jc w:val="left"/>
      </w:pPr>
      <w:r>
        <w:rPr>
          <w:b w:val="0"/>
        </w:rPr>
        <w:t>The Foundation transforms that legacy into action by investing in people, organizations, and initiatives that expand opportunity, develop leaders, strengthen communities, and help children and families thrive. Our work includes scholarships and fellowships, youth leadership and development, girls’ and women’s programs, health and wellness, nonprofit leadership development, workforce development, community partnerships, special project grants, and other initiatives consistent with Mrs. Williams’ legacy of service.</w:t>
      </w:r>
    </w:p>
    <w:p>
      <w:pPr>
        <w:spacing w:after="80"/>
        <w:jc w:val="left"/>
      </w:pPr>
      <w:r>
        <w:rPr>
          <w:b/>
          <w:color w:val="102B58"/>
          <w:sz w:val="22"/>
        </w:rPr>
        <w:t>Our Purpose</w:t>
      </w:r>
    </w:p>
    <w:p>
      <w:pPr>
        <w:spacing w:after="100"/>
        <w:jc w:val="left"/>
      </w:pPr>
      <w:r>
        <w:rPr>
          <w:b w:val="0"/>
        </w:rPr>
        <w:t>The Foundation exists to educate, empower, and create opportunities for the next generation while investing in the people and organizations working to strengthen communities.</w:t>
      </w:r>
    </w:p>
    <w:p>
      <w:pPr>
        <w:spacing w:after="100"/>
        <w:jc w:val="left"/>
      </w:pPr>
      <w:r>
        <w:rPr>
          <w:b w:val="0"/>
        </w:rPr>
        <w:t>We seek to combine philanthropy with direct programming, leadership development, partnerships, and community investment. As the Foundation grows, we intend to remain entrepreneurial, collaborative, community-centered, and responsive to emerging needs and opportunities.</w:t>
      </w:r>
    </w:p>
    <w:p>
      <w:pPr>
        <w:spacing w:after="80"/>
        <w:jc w:val="left"/>
      </w:pPr>
      <w:r>
        <w:rPr>
          <w:b/>
          <w:color w:val="102B58"/>
          <w:sz w:val="22"/>
        </w:rPr>
        <w:t>Position Overview</w:t>
      </w:r>
    </w:p>
    <w:p>
      <w:pPr>
        <w:spacing w:after="100"/>
        <w:jc w:val="left"/>
      </w:pPr>
      <w:r>
        <w:rPr>
          <w:b w:val="0"/>
        </w:rPr>
        <w:t>The Director of International Youth &amp; Family Engagement develops and coordinates international educational exchanges, cultural partnerships, global health education, and reciprocal technology learning opportunities for youth and families, initially connecting the San Francisco Bay Area and Kenya.</w:t>
      </w:r>
    </w:p>
    <w:p>
      <w:pPr>
        <w:spacing w:after="100"/>
        <w:jc w:val="left"/>
      </w:pPr>
      <w:r>
        <w:rPr>
          <w:b w:val="0"/>
        </w:rPr>
        <w:t>Inspired by Nikki Williams’ transformative visit to Kenya in 2001, this role will lead the Nikki Global Youth Exchange Initiative: an inaugural supervised 12–14-day Bay Area youth visit to Kenya in summer 2029, followed by a reciprocal visit by 10 Kenyan youth to the United States in summer 2030.</w:t>
      </w:r>
    </w:p>
    <w:p>
      <w:pPr>
        <w:spacing w:after="100"/>
        <w:jc w:val="left"/>
      </w:pPr>
      <w:r>
        <w:rPr>
          <w:b w:val="0"/>
        </w:rPr>
        <w:t>The Director will cultivate enduring sister-program relationships before and after travel, emphasizing mutual respect, leadership, community service, and equitable access to opportunity.</w:t>
      </w:r>
    </w:p>
    <w:p>
      <w:pPr>
        <w:spacing w:after="80"/>
        <w:jc w:val="left"/>
      </w:pPr>
      <w:r>
        <w:rPr>
          <w:b/>
          <w:color w:val="102B58"/>
          <w:sz w:val="22"/>
        </w:rPr>
        <w:t>Primary Responsibilities</w:t>
      </w:r>
    </w:p>
    <w:p>
      <w:pPr>
        <w:pStyle w:val="ListBullet"/>
        <w:spacing w:after="60"/>
      </w:pPr>
      <w:r>
        <w:t>Design the 2029 Kenya exchange and 2030 reciprocal Bay Area exchange, including educational itineraries, institutional partnerships, chaperones, and host arrangements.</w:t>
      </w:r>
    </w:p>
    <w:p>
      <w:pPr>
        <w:pStyle w:val="ListBullet"/>
        <w:spacing w:after="60"/>
      </w:pPr>
      <w:r>
        <w:t>Build relationships with Kenyan schools, youth-serving organizations, public health institutions, families, and Bay Area partners, including BYA and BMZ youth programs.</w:t>
      </w:r>
    </w:p>
    <w:p>
      <w:pPr>
        <w:pStyle w:val="ListBullet"/>
        <w:spacing w:after="60"/>
      </w:pPr>
      <w:r>
        <w:t>Establish competitive participant applications and selection criteria incorporating academics, community service, leadership, commitment, and interviews.</w:t>
      </w:r>
    </w:p>
    <w:p>
      <w:pPr>
        <w:pStyle w:val="ListBullet"/>
        <w:spacing w:after="60"/>
      </w:pPr>
      <w:r>
        <w:t>Coordinate orientation, parent/guardian engagement, travel readiness, supervised educational activities, and post-trip reflection.</w:t>
      </w:r>
    </w:p>
    <w:p>
      <w:pPr>
        <w:pStyle w:val="ListBullet"/>
        <w:spacing w:after="60"/>
      </w:pPr>
      <w:r>
        <w:t>Develop public health and health equity learning opportunities, including appropriately coordinated visits to community clinics and health organizations.</w:t>
      </w:r>
    </w:p>
    <w:p>
      <w:pPr>
        <w:pStyle w:val="ListBullet"/>
        <w:spacing w:after="60"/>
      </w:pPr>
      <w:r>
        <w:t>Facilitate two-way technology and digital-skills exchanges, joint youth projects, and virtual workshops responsive to partner-identified needs.</w:t>
      </w:r>
    </w:p>
    <w:p>
      <w:pPr>
        <w:pStyle w:val="ListBullet"/>
        <w:spacing w:after="60"/>
      </w:pPr>
      <w:r>
        <w:t>Establish year-round sister-programming, including virtual cultural exchange and collaborative projects before and after each visit.</w:t>
      </w:r>
    </w:p>
    <w:p>
      <w:pPr>
        <w:pStyle w:val="ListBullet"/>
        <w:spacing w:after="60"/>
      </w:pPr>
      <w:r>
        <w:t>Develop budgets and administer the Foundation’s intended 75% contribution toward approved participant costs, with the remaining 25% raised by youth through supported fundraising; recommend equitable hardship accommodations.</w:t>
      </w:r>
    </w:p>
    <w:p>
      <w:pPr>
        <w:pStyle w:val="ListBullet"/>
        <w:spacing w:after="60"/>
      </w:pPr>
      <w:r>
        <w:t>Coordinate sponsorships and program fundraising with the Director of Development and other Foundation leaders.</w:t>
      </w:r>
    </w:p>
    <w:p>
      <w:pPr>
        <w:pStyle w:val="ListBullet"/>
        <w:spacing w:after="60"/>
      </w:pPr>
      <w:r>
        <w:t>Establish child-safeguarding, screening, emergency, insurance, travel, and applicable visa/immigration compliance procedures with qualified partners.</w:t>
      </w:r>
    </w:p>
    <w:p>
      <w:pPr>
        <w:pStyle w:val="ListBullet"/>
        <w:spacing w:after="60"/>
      </w:pPr>
      <w:r>
        <w:t>Evaluate participant outcomes, partnerships, financial results, and alumni engagement; report progress to Foundation leadership and the Board.</w:t>
      </w:r>
    </w:p>
    <w:p>
      <w:pPr>
        <w:spacing w:after="80"/>
        <w:jc w:val="left"/>
      </w:pPr>
      <w:r>
        <w:rPr>
          <w:b/>
          <w:color w:val="102B58"/>
          <w:sz w:val="22"/>
        </w:rPr>
        <w:t>Program Development &amp; Innovation</w:t>
      </w:r>
    </w:p>
    <w:p>
      <w:pPr>
        <w:spacing w:after="100"/>
        <w:jc w:val="left"/>
      </w:pPr>
      <w:r>
        <w:rPr>
          <w:b w:val="0"/>
        </w:rPr>
        <w:t>The Foundation is intentionally building its programs and organizational capacity over time. The successful contractor should bring ideas, creativity, relationships, and an entrepreneurial mindset to the position.</w:t>
      </w:r>
    </w:p>
    <w:p>
      <w:pPr>
        <w:spacing w:after="100"/>
        <w:jc w:val="left"/>
      </w:pPr>
      <w:r>
        <w:rPr>
          <w:b w:val="0"/>
        </w:rPr>
        <w:t>Initial priorities include partner development and program design in 2027, sister-programming and recruitment in 2028, the inaugural Kenya visit in 2029, and the reciprocal United States visit in 2030. The model may expand as resources and partnerships develop.</w:t>
      </w:r>
    </w:p>
    <w:p>
      <w:pPr>
        <w:spacing w:after="80"/>
        <w:jc w:val="left"/>
      </w:pPr>
      <w:r>
        <w:rPr>
          <w:b/>
          <w:color w:val="102B58"/>
          <w:sz w:val="22"/>
        </w:rPr>
        <w:t>Qualifications &amp; Experience</w:t>
      </w:r>
    </w:p>
    <w:p>
      <w:pPr>
        <w:spacing w:after="100"/>
        <w:jc w:val="left"/>
      </w:pPr>
      <w:r>
        <w:rPr>
          <w:b w:val="0"/>
        </w:rPr>
        <w:t>The Foundation welcomes candidates with professional, nonprofit, educational, community, public-health, international, or lived experience relevant to this portfolio. Competitive candidates will generally demonstrate:</w:t>
      </w:r>
    </w:p>
    <w:p>
      <w:pPr>
        <w:pStyle w:val="ListBullet"/>
        <w:spacing w:after="60"/>
      </w:pPr>
      <w:r>
        <w:t>Experience in youth development, education, cultural exchange, international partnerships, or nonprofit program coordination.</w:t>
      </w:r>
    </w:p>
    <w:p>
      <w:pPr>
        <w:pStyle w:val="ListBullet"/>
        <w:spacing w:after="60"/>
      </w:pPr>
      <w:r>
        <w:t>Ability to manage complex travel logistics, budgets, youth safeguarding, and collaborative relationships across countries.</w:t>
      </w:r>
    </w:p>
    <w:p>
      <w:pPr>
        <w:pStyle w:val="ListBullet"/>
        <w:spacing w:after="60"/>
      </w:pPr>
      <w:r>
        <w:t>Strong communication, organizational, fundraising, and cross-cultural facilitation skills.</w:t>
      </w:r>
    </w:p>
    <w:p>
      <w:pPr>
        <w:pStyle w:val="ListBullet"/>
        <w:spacing w:after="60"/>
      </w:pPr>
      <w:r>
        <w:t>Familiarity with Kenya or East African community institutions is preferred.</w:t>
      </w:r>
    </w:p>
    <w:p>
      <w:pPr>
        <w:pStyle w:val="ListBullet"/>
        <w:spacing w:after="60"/>
      </w:pPr>
      <w:r>
        <w:t>Ability to work independently while collaborating effectively with a distributed team.</w:t>
      </w:r>
    </w:p>
    <w:p>
      <w:pPr>
        <w:pStyle w:val="ListBullet"/>
        <w:spacing w:after="60"/>
      </w:pPr>
      <w:r>
        <w:t>Commitment to reciprocal learning, equity, professional judgment, and the Foundation’s mission.</w:t>
      </w:r>
    </w:p>
    <w:p>
      <w:pPr>
        <w:spacing w:after="100"/>
        <w:jc w:val="left"/>
      </w:pPr>
      <w:r>
        <w:rPr>
          <w:b w:val="0"/>
        </w:rPr>
        <w:t>A particular academic degree is not necessarily required unless the scope of contracted services requires specialized credentials. The Foundation values experience, demonstrated leadership, community knowledge, relationships, creativity, professional judgment, and the ability to produce results.</w:t>
      </w:r>
    </w:p>
    <w:p>
      <w:pPr>
        <w:spacing w:after="80"/>
        <w:jc w:val="left"/>
      </w:pPr>
      <w:r>
        <w:rPr>
          <w:b/>
          <w:color w:val="102B58"/>
          <w:sz w:val="22"/>
        </w:rPr>
        <w:t>Technology &amp; Remote Work</w:t>
      </w:r>
    </w:p>
    <w:p>
      <w:pPr>
        <w:spacing w:after="100"/>
        <w:jc w:val="left"/>
      </w:pPr>
      <w:r>
        <w:rPr>
          <w:b w:val="0"/>
        </w:rPr>
        <w:t>This is an entirely remote position, except for required or mutually agreed-upon in-person meetings, programs, retreats, and events. The contractor must be comfortable using Zoom, Google Meet, Google Workspace, Slack, Salesforce, Microsoft Office, and other collaboration platforms adopted by the Foundation, and maintaining reliable internet and telephone access.</w:t>
      </w:r>
    </w:p>
    <w:p>
      <w:pPr>
        <w:spacing w:after="80"/>
        <w:jc w:val="left"/>
      </w:pPr>
      <w:r>
        <w:rPr>
          <w:b/>
          <w:color w:val="102B58"/>
          <w:sz w:val="22"/>
        </w:rPr>
        <w:t>Travel &amp; In-Person Participation</w:t>
      </w:r>
    </w:p>
    <w:p>
      <w:pPr>
        <w:spacing w:after="100"/>
        <w:jc w:val="left"/>
      </w:pPr>
      <w:r>
        <w:rPr>
          <w:b w:val="0"/>
        </w:rPr>
        <w:t>International travel to Kenya and domestic travel within the Bay Area may be required in connection with the exchange program, subject to agreed scope, funding, safety protocols, and applicable travel requirements. Participation in designated Foundation signature events may also be expected.</w:t>
      </w:r>
    </w:p>
    <w:p>
      <w:pPr>
        <w:spacing w:after="80"/>
        <w:jc w:val="left"/>
      </w:pPr>
      <w:r>
        <w:rPr>
          <w:b/>
          <w:color w:val="102B58"/>
          <w:sz w:val="22"/>
        </w:rPr>
        <w:t>Collaboration</w:t>
      </w:r>
    </w:p>
    <w:p>
      <w:pPr>
        <w:spacing w:after="100"/>
        <w:jc w:val="left"/>
      </w:pPr>
      <w:r>
        <w:rPr>
          <w:b w:val="0"/>
        </w:rPr>
        <w:t>The Director will collaborate with the Founder &amp; Chief Executive Officer, other Foundation directors and officers, the Board, partner organizations, chaperones, volunteers, families, donors, and community stakeholders. The Foundation values a lean, cooperative leadership structure.</w:t>
      </w:r>
    </w:p>
    <w:p>
      <w:pPr>
        <w:spacing w:after="80"/>
        <w:jc w:val="left"/>
      </w:pPr>
      <w:r>
        <w:rPr>
          <w:b/>
          <w:color w:val="102B58"/>
          <w:sz w:val="22"/>
        </w:rPr>
        <w:t>Independent Contractor Relationship</w:t>
      </w:r>
    </w:p>
    <w:p>
      <w:pPr>
        <w:spacing w:after="100"/>
        <w:jc w:val="left"/>
      </w:pPr>
      <w:r>
        <w:rPr>
          <w:b w:val="0"/>
        </w:rPr>
        <w:t>This is an independent contractor position. Scope, hours, projects, compensation, travel obligations, and deliverables will be established through a written professional services agreement and may evolve based upon funding, programs, and organizational needs. The contractor will exercise appropriate professional independence in carrying out the agreed scope.</w:t>
      </w:r>
    </w:p>
    <w:p>
      <w:pPr>
        <w:spacing w:after="80"/>
        <w:jc w:val="left"/>
      </w:pPr>
      <w:r>
        <w:rPr>
          <w:b/>
          <w:color w:val="102B58"/>
          <w:sz w:val="22"/>
        </w:rPr>
        <w:t>An Evolving Role</w:t>
      </w:r>
    </w:p>
    <w:p>
      <w:pPr>
        <w:spacing w:after="100"/>
        <w:jc w:val="left"/>
      </w:pPr>
      <w:r>
        <w:rPr>
          <w:b w:val="0"/>
        </w:rPr>
        <w:t>The Foundation is a growing organization. This position description establishes the general purpose, responsibilities, and expectations of the role rather than an exhaustive list of duties. Responsibilities and opportunities may evolve as partnerships and resources expand.</w:t>
      </w:r>
    </w:p>
    <w:p>
      <w:pPr>
        <w:spacing w:after="100"/>
        <w:jc w:val="center"/>
      </w:pPr>
      <w:r>
        <w:rPr>
          <w:b/>
          <w:color w:val="102B58"/>
          <w:sz w:val="18"/>
        </w:rPr>
        <w:t>We are looking for individuals who are excited not only about filling a position, but about helping build an institution and carrying forward a legacy of service for future generations.</w:t>
      </w:r>
    </w:p>
    <w:sectPr w:rsidR="00FC693F" w:rsidRPr="0006063C" w:rsidSect="00034616">
      <w:footerReference w:type="default" r:id="rId10"/>
      <w:pgSz w:w="12240" w:h="15840"/>
      <w:pgMar w:top="547" w:right="1008" w:bottom="691"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4"/>
      </w:rPr>
      <w:t>Niculia “Nikki” Williams Education &amp; Equity Foundation | Position Description - Version 1.0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